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6d5902bc09b04356fd137f81e90b4f7b97eb30"/>
    <w:p>
      <w:pPr>
        <w:pStyle w:val="Heading3"/>
      </w:pPr>
      <w:r>
        <w:t xml:space="preserve">УКАЗ от 27 сентября 2010 г. N 68-УМ О КОМИССИЯХ ПО СОБЛЮДЕНИЮ ТРЕБОВАНИЙ К СЛУЖЕБНОМУ ПОВЕДЕНИЮ ГОСУДАРСТВЕННЫХ ГРАЖДАНСКИХ СЛУЖАЩИХ ГОРОДА МОСКВЫ И УРЕГУЛИРОВАНИЮ КОНФЛИКТА ИНТЕРЕСОВ</w:t>
      </w:r>
    </w:p>
    <w:p>
      <w:pPr>
        <w:pStyle w:val="FirstParagraph"/>
      </w:pPr>
      <w:r>
        <w:t xml:space="preserve">11.06.2014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http://tveruprava.mos.ru/anti-corruption/anti-corruption-expertise/detail/1076797.html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Тверского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veruprava.mos.ru" TargetMode="External" /><Relationship Type="http://schemas.openxmlformats.org/officeDocument/2006/relationships/hyperlink" Id="rId20" Target="http://tveruprava.mos.ru/anti-corruption/anti-corruption-expertise/detail/10767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veruprava.mos.ru" TargetMode="External" /><Relationship Type="http://schemas.openxmlformats.org/officeDocument/2006/relationships/hyperlink" Id="rId20" Target="http://tveruprava.mos.ru/anti-corruption/anti-corruption-expertise/detail/10767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2024-10-11T05:38:49Z</dcterms:created>
  <dcterms:modified xsi:type="dcterms:W3CDTF">2024-10-11T05:38:49Z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