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4ad5584de3d9dc598bfd8afec9a2f8891048a"/>
    <w:p>
      <w:pPr>
        <w:pStyle w:val="Heading3"/>
      </w:pPr>
      <w:r>
        <w:t xml:space="preserve">Обзор типовых ситуаций конфликта интересов. Подготовленных Минтруда и соцзащиты РФ</w:t>
      </w:r>
    </w:p>
    <w:p>
      <w:pPr>
        <w:pStyle w:val="FirstParagraph"/>
      </w:pPr>
      <w:r>
        <w:t xml:space="preserve">09.06.2014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http://tveruprava.mos.ru/anti-corruption/methodical-materials/detail/1074555.html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methodical-materials/detail/1074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methodical-materials/detail/1074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2023-07-20T03:56:36Z</dcterms:created>
  <dcterms:modified xsi:type="dcterms:W3CDTF">2023-07-20T03:56:36Z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