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cfa89c3ef55ce0fb37cec750e088ef73048889"/>
    <w:p>
      <w:pPr>
        <w:pStyle w:val="Heading3"/>
      </w:pPr>
      <w:r>
        <w:t xml:space="preserve">Административная ответственность юридических лиц за совершение правонарушений в коррупционной направленности</w:t>
      </w:r>
    </w:p>
    <w:p>
      <w:pPr>
        <w:pStyle w:val="FirstParagraph"/>
      </w:pPr>
      <w:r>
        <w:t xml:space="preserve">16.01.2019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http://tveruprava.mos.ru/anti-corruption/methodical-materials/detail/7823641.html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Тверского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veruprava.mos.ru" TargetMode="External" /><Relationship Type="http://schemas.openxmlformats.org/officeDocument/2006/relationships/hyperlink" Id="rId20" Target="http://tveruprava.mos.ru/anti-corruption/methodical-materials/detail/78236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veruprava.mos.ru" TargetMode="External" /><Relationship Type="http://schemas.openxmlformats.org/officeDocument/2006/relationships/hyperlink" Id="rId20" Target="http://tveruprava.mos.ru/anti-corruption/methodical-materials/detail/78236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2023-10-11T02:32:57Z</dcterms:created>
  <dcterms:modified xsi:type="dcterms:W3CDTF">2023-10-11T02:32:57Z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