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6e30015ac95ea3db88f557393aada6c0bd366"/>
    <w:p>
      <w:pPr>
        <w:pStyle w:val="Heading3"/>
      </w:pPr>
      <w:r>
        <w:t xml:space="preserve">Распоряжение Об утверждении Положения о Комиссии по соблюдению требований к служебному поведению государственных гражданских служащих управы Тверского района города Москвы и урегулированию конфликта интересов и состава комиссии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http://tveruprava.mos.ru/anti-corruption/the-commission-for-observance-of-requirements-for-the-official-behaviour-of-state-civil-employees-of/detail/1094014.html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094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anti-corruption/the-commission-for-observance-of-requirements-for-the-official-behaviour-of-state-civil-employees-of/detail/1094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2023-09-03T10:32:50Z</dcterms:created>
  <dcterms:modified xsi:type="dcterms:W3CDTF">2023-09-03T10:32:50Z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