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61ee2f71778d3b5512b86768fe42ed749fddf"/>
    <w:p>
      <w:pPr>
        <w:pStyle w:val="Heading3"/>
      </w:pPr>
      <w:r>
        <w:t xml:space="preserve">Положение «о комиссии управы Тверского района по соблюдению требований к служебному поведению государственных гражданских служащих города Москвы и урегулированию конфликта интересов»</w:t>
      </w:r>
    </w:p>
    <w:p>
      <w:pPr>
        <w:pStyle w:val="FirstParagraph"/>
      </w:pPr>
      <w:r>
        <w:t xml:space="preserve">25.06.2014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http://tveruprava.mos.ru/anti-corruption/the-commission-for-observance-of-requirements-for-the-official-behaviour-of-state-civil-employees-of/detail/1094030.html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the-commission-for-observance-of-requirements-for-the-official-behaviour-of-state-civil-employees-of/detail/1094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the-commission-for-observance-of-requirements-for-the-official-behaviour-of-state-civil-employees-of/detail/1094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2025-02-12T12:18:41Z</dcterms:created>
  <dcterms:modified xsi:type="dcterms:W3CDTF">2025-02-12T12:18:41Z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