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cb723e859afca4fdac14b282136fa8dfa2455"/>
    <w:p>
      <w:pPr>
        <w:pStyle w:val="Heading3"/>
      </w:pPr>
      <w:r>
        <w:t xml:space="preserve">Приказ № 200-к от 22.12.2023 "О внесении изменений в приказ управы Тверского района города Москвы от 05.09.2022 № 133-к"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№ 200-к от 22.12.2023 "О внесении изменений в приказ управы Тверского района города Москвы от 05.09.2022 № 133-к"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http://tveruprava.mos.ru/anti-corruption/the-commission-for-observance-of-requirements-for-the-official-behaviour-of-state-civil-employees-of/detail/12074053.html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&#1055;&#1088;&#1080;&#1082;&#1072;&#1079;%20&#1086;&#1090;%2022.12.2023%20&#8470;%20200-&#1082;..pdf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2074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&#1055;&#1088;&#1080;&#1082;&#1072;&#1079;%20&#1086;&#1090;%2022.12.2023%20&#8470;%20200-&#1082;..pdf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2074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2024-07-24T10:02:40Z</dcterms:created>
  <dcterms:modified xsi:type="dcterms:W3CDTF">2024-07-24T10:02:40Z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