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259632731e7bf05e98723c0379ec809055a7cf"/>
    <w:p>
      <w:pPr>
        <w:pStyle w:val="Heading3"/>
      </w:pPr>
      <w:r>
        <w:t xml:space="preserve">Освобождение земельных участков от незаконно размещённых объектов</w:t>
      </w:r>
    </w:p>
    <w:p>
      <w:pPr>
        <w:pStyle w:val="FirstParagraph"/>
      </w:pPr>
      <w:r>
        <w:t xml:space="preserve">28.07.2025</w:t>
      </w:r>
    </w:p>
    <w:p>
      <w:pPr>
        <w:pStyle w:val="BodyText"/>
      </w:pPr>
      <w:r>
        <w:t xml:space="preserve">Освобождение земельных участков от незаконно размещённых объектов осуществляется в соответствии с постановлением Правительства Москвы от 02.11.2012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размещённых на них объектов, не являющихся объектами капитального строительства, в том числе осуществлению демонтажа и (или) перемещения таких объектов».</w:t>
      </w:r>
    </w:p>
    <w:p>
      <w:pPr>
        <w:pStyle w:val="BodyText"/>
      </w:pPr>
      <w:r>
        <w:t xml:space="preserve">На основании проведённых обследований земельных участков на предмет выявления незаконно размещённых объектов, по результатам заседания Окружной комиссии по пресечению самовольного строительства на территории ЦАО от 23.07.2025 № 7, следующие объекты, расположенные на территории Тверского района, признаны незаконно размещёнными и принято коллегиальное решение об их демонтаже в рамках вышеуказанного постановления:</w:t>
      </w:r>
    </w:p>
    <w:tbl>
      <w:tblPr>
        <w:tblStyle w:val="Table"/>
        <w:tblW w:type="auto" w:w="0"/>
        <w:tblLook w:firstRow="0" w:lastRow="0" w:firstColumn="0" w:lastColumn="0" w:noHBand="0" w:noVBand="0" w:val="0000"/>
      </w:tblPr>
      <w:tblGrid>
        <w:gridCol w:w="3960"/>
        <w:gridCol w:w="3960"/>
      </w:tblGrid>
      <w:tr>
        <w:tc>
          <w:tcPr/>
          <w:p>
            <w:pPr>
              <w:jc w:val="left"/>
            </w:pPr>
            <w:r>
              <w:t xml:space="preserve">площадь Новая, вл. 8, стр. 2</w:t>
            </w:r>
          </w:p>
        </w:tc>
        <w:tc>
          <w:tcPr/>
          <w:p>
            <w:pPr>
              <w:jc w:val="left"/>
            </w:pPr>
            <w:r>
              <w:t xml:space="preserve">шлагбаумы 2 шт., металлические заборы 2 шт.</w:t>
            </w:r>
          </w:p>
        </w:tc>
      </w:tr>
      <w:tr>
        <w:tc>
          <w:tcPr/>
          <w:p>
            <w:pPr>
              <w:jc w:val="left"/>
            </w:pPr>
            <w:r>
              <w:t xml:space="preserve">улица 3-я Тверская-Ямская, вл. 15</w:t>
            </w:r>
          </w:p>
        </w:tc>
        <w:tc>
          <w:tcPr/>
          <w:p>
            <w:pPr>
              <w:jc w:val="left"/>
            </w:pPr>
            <w:r>
              <w:t xml:space="preserve">блоки кондиционеров 2 шт.</w:t>
            </w:r>
          </w:p>
        </w:tc>
      </w:tr>
      <w:tr>
        <w:tc>
          <w:tcPr/>
          <w:p>
            <w:pPr>
              <w:jc w:val="left"/>
            </w:pPr>
            <w:r>
              <w:t xml:space="preserve">улица 4-я Тверская-Ямская, вл. 23</w:t>
            </w:r>
          </w:p>
        </w:tc>
        <w:tc>
          <w:tcPr/>
          <w:p>
            <w:pPr>
              <w:jc w:val="left"/>
            </w:pPr>
            <w:r>
              <w:t xml:space="preserve">ступень, вазоны 2 шт.</w:t>
            </w:r>
          </w:p>
        </w:tc>
      </w:tr>
      <w:tr>
        <w:tc>
          <w:tcPr/>
          <w:p>
            <w:pPr>
              <w:jc w:val="left"/>
            </w:pPr>
            <w:r>
              <w:t xml:space="preserve">улица 4-я Тверская-Ямская, вл. 25</w:t>
            </w:r>
          </w:p>
        </w:tc>
        <w:tc>
          <w:tcPr/>
          <w:p>
            <w:pPr>
              <w:jc w:val="left"/>
            </w:pPr>
            <w:r>
              <w:t xml:space="preserve">ступени</w:t>
            </w:r>
          </w:p>
        </w:tc>
      </w:tr>
      <w:tr>
        <w:tc>
          <w:tcPr/>
          <w:p>
            <w:pPr>
              <w:jc w:val="left"/>
            </w:pPr>
            <w:r>
              <w:t xml:space="preserve">улица Селезнёвская, вл. 15А, стр. 2,4,3-5 (около)</w:t>
            </w:r>
          </w:p>
        </w:tc>
        <w:tc>
          <w:tcPr/>
          <w:p>
            <w:pPr>
              <w:jc w:val="left"/>
            </w:pPr>
            <w:r>
              <w:t xml:space="preserve">качели</w:t>
            </w:r>
          </w:p>
        </w:tc>
      </w:tr>
      <w:tr>
        <w:tc>
          <w:tcPr/>
          <w:p>
            <w:pPr>
              <w:jc w:val="left"/>
            </w:pPr>
            <w:r>
              <w:t xml:space="preserve">улица Малая Дмитровка, вл. 14, стр. 2</w:t>
            </w:r>
          </w:p>
        </w:tc>
        <w:tc>
          <w:tcPr/>
          <w:p>
            <w:pPr>
              <w:jc w:val="left"/>
            </w:pPr>
            <w:r>
              <w:t xml:space="preserve">конусы, столбики, будка охраны</w:t>
            </w:r>
          </w:p>
        </w:tc>
      </w:tr>
      <w:tr>
        <w:tc>
          <w:tcPr/>
          <w:p>
            <w:pPr>
              <w:jc w:val="left"/>
            </w:pPr>
            <w:r>
              <w:t xml:space="preserve">улица Малая Дмитровка, вл. 16</w:t>
            </w:r>
          </w:p>
        </w:tc>
        <w:tc>
          <w:tcPr/>
          <w:p>
            <w:pPr>
              <w:jc w:val="left"/>
            </w:pPr>
            <w:r>
              <w:t xml:space="preserve">рекламная конструкция, конусы, металлические ограждения</w:t>
            </w:r>
          </w:p>
        </w:tc>
      </w:tr>
      <w:tr>
        <w:tc>
          <w:tcPr/>
          <w:p>
            <w:pPr>
              <w:jc w:val="left"/>
            </w:pPr>
            <w:r>
              <w:t xml:space="preserve">улица Малая Дмитровка, земельный участок 16/6</w:t>
            </w:r>
          </w:p>
        </w:tc>
        <w:tc>
          <w:tcPr/>
          <w:p>
            <w:pPr>
              <w:jc w:val="left"/>
            </w:pPr>
            <w:r>
              <w:t xml:space="preserve">забор с воротами, забор, будка охраны</w:t>
            </w:r>
          </w:p>
        </w:tc>
      </w:tr>
      <w:tr>
        <w:tc>
          <w:tcPr/>
          <w:p>
            <w:pPr>
              <w:jc w:val="left"/>
            </w:pPr>
            <w:r>
              <w:t xml:space="preserve">улица Малая Дмитровка, вл. 18а, стр. 3-3а-4, 5, 6, 7, 8</w:t>
            </w:r>
          </w:p>
        </w:tc>
        <w:tc>
          <w:tcPr/>
          <w:p>
            <w:pPr>
              <w:jc w:val="left"/>
            </w:pPr>
            <w:r>
              <w:t xml:space="preserve">забор с воротами, ворота, шлагбаум</w:t>
            </w:r>
          </w:p>
        </w:tc>
      </w:tr>
      <w:tr>
        <w:tc>
          <w:tcPr/>
          <w:p>
            <w:pPr>
              <w:jc w:val="left"/>
            </w:pPr>
            <w:r>
              <w:t xml:space="preserve">улица Малая Дмитровка, вл. 18А, стр. 3</w:t>
            </w:r>
          </w:p>
        </w:tc>
        <w:tc>
          <w:tcPr/>
          <w:p>
            <w:pPr>
              <w:jc w:val="left"/>
            </w:pPr>
            <w:r>
              <w:t xml:space="preserve">шатёр, сооружение, спортинвентарь, мебель</w:t>
            </w:r>
          </w:p>
        </w:tc>
      </w:tr>
      <w:tr>
        <w:tc>
          <w:tcPr/>
          <w:p>
            <w:pPr>
              <w:jc w:val="left"/>
            </w:pPr>
            <w:r>
              <w:t xml:space="preserve">улица Малая Дмитровка, вл. 18А, стр. 5, 6, 7, 8</w:t>
            </w:r>
          </w:p>
        </w:tc>
        <w:tc>
          <w:tcPr/>
          <w:p>
            <w:pPr>
              <w:jc w:val="left"/>
            </w:pPr>
            <w:r>
              <w:t xml:space="preserve">забор с воротами</w:t>
            </w:r>
          </w:p>
        </w:tc>
      </w:tr>
      <w:tr>
        <w:tc>
          <w:tcPr/>
          <w:p>
            <w:pPr>
              <w:jc w:val="left"/>
            </w:pPr>
            <w:r>
              <w:t xml:space="preserve">улица Садовая-Каретная, вл. 6</w:t>
            </w:r>
          </w:p>
        </w:tc>
        <w:tc>
          <w:tcPr/>
          <w:p>
            <w:pPr>
              <w:jc w:val="left"/>
            </w:pPr>
            <w:r>
              <w:t xml:space="preserve">гараж, забор</w:t>
            </w:r>
          </w:p>
        </w:tc>
      </w:tr>
      <w:tr>
        <w:tc>
          <w:tcPr/>
          <w:p>
            <w:pPr>
              <w:jc w:val="left"/>
            </w:pPr>
            <w:r>
              <w:t xml:space="preserve">улица Садовая-Каретная, вл. 8, стр. 2</w:t>
            </w:r>
          </w:p>
        </w:tc>
        <w:tc>
          <w:tcPr/>
          <w:p>
            <w:pPr>
              <w:jc w:val="left"/>
            </w:pPr>
            <w:r>
              <w:t xml:space="preserve">забор</w:t>
            </w:r>
          </w:p>
        </w:tc>
      </w:tr>
      <w:tr>
        <w:tc>
          <w:tcPr/>
          <w:p>
            <w:pPr>
              <w:jc w:val="left"/>
            </w:pPr>
            <w:r>
              <w:t xml:space="preserve">улица Садовая-Каретная, вл. 8, стр. 5</w:t>
            </w:r>
          </w:p>
        </w:tc>
        <w:tc>
          <w:tcPr/>
          <w:p>
            <w:pPr>
              <w:jc w:val="left"/>
            </w:pPr>
            <w:r>
              <w:t xml:space="preserve">мебель, забор с калиткой</w:t>
            </w:r>
          </w:p>
        </w:tc>
      </w:tr>
      <w:tr>
        <w:tc>
          <w:tcPr/>
          <w:p>
            <w:pPr>
              <w:jc w:val="left"/>
            </w:pPr>
            <w:r>
              <w:t xml:space="preserve">улица Садовая-Каретная, вл. 8, стр. 6</w:t>
            </w:r>
          </w:p>
        </w:tc>
        <w:tc>
          <w:tcPr/>
          <w:p>
            <w:pPr>
              <w:jc w:val="left"/>
            </w:pPr>
            <w:r>
              <w:t xml:space="preserve">входная группа</w:t>
            </w:r>
          </w:p>
        </w:tc>
      </w:tr>
      <w:tr>
        <w:tc>
          <w:tcPr/>
          <w:p>
            <w:pPr>
              <w:jc w:val="left"/>
            </w:pPr>
            <w:r>
              <w:t xml:space="preserve">улица Садовая-Каретная, вл. 10</w:t>
            </w:r>
          </w:p>
        </w:tc>
        <w:tc>
          <w:tcPr/>
          <w:p>
            <w:pPr>
              <w:jc w:val="left"/>
            </w:pPr>
            <w:r>
              <w:t xml:space="preserve">металлические ограждения</w:t>
            </w:r>
          </w:p>
        </w:tc>
      </w:tr>
      <w:tr>
        <w:tc>
          <w:tcPr/>
          <w:p>
            <w:pPr>
              <w:jc w:val="left"/>
            </w:pPr>
            <w:r>
              <w:t xml:space="preserve">улица Садовая-Каретная, вл. 8, стр. 4</w:t>
            </w:r>
          </w:p>
        </w:tc>
        <w:tc>
          <w:tcPr/>
          <w:p>
            <w:pPr>
              <w:jc w:val="left"/>
            </w:pPr>
            <w:r>
              <w:t xml:space="preserve">забор</w:t>
            </w:r>
          </w:p>
        </w:tc>
      </w:tr>
      <w:tr>
        <w:tc>
          <w:tcPr/>
          <w:p>
            <w:pPr>
              <w:jc w:val="left"/>
            </w:pPr>
            <w:r>
              <w:t xml:space="preserve">переулок Успенский, земельный участок 3/4</w:t>
            </w:r>
          </w:p>
        </w:tc>
        <w:tc>
          <w:tcPr/>
          <w:p>
            <w:pPr>
              <w:jc w:val="left"/>
            </w:pPr>
            <w:r>
              <w:t xml:space="preserve">забор с воротами и калиткой</w:t>
            </w:r>
          </w:p>
        </w:tc>
      </w:tr>
      <w:tr>
        <w:tc>
          <w:tcPr/>
          <w:p>
            <w:pPr>
              <w:jc w:val="left"/>
            </w:pPr>
            <w:r>
              <w:t xml:space="preserve">переулок Успенский, земельный участок 3/4 (рядом)</w:t>
            </w:r>
          </w:p>
        </w:tc>
        <w:tc>
          <w:tcPr/>
          <w:p>
            <w:pPr>
              <w:jc w:val="left"/>
            </w:pPr>
            <w:r>
              <w:t xml:space="preserve">забор</w:t>
            </w:r>
          </w:p>
        </w:tc>
      </w:tr>
    </w:tbl>
    <w:p>
      <w:pPr>
        <w:pStyle w:val="BodyText"/>
      </w:pPr>
      <w:r>
        <w:t xml:space="preserve">Правообладателям данных объектов предлагается добровольно освободить земельный участок от незаконно размещённых объектов.</w:t>
      </w:r>
    </w:p>
    <w:p>
      <w:pPr>
        <w:pStyle w:val="BodyText"/>
      </w:pPr>
      <w:r>
        <w:t xml:space="preserve">В случае отказа правообладателей объектов в добровольном порядке освободить земельный участок от незаконно размещённых объектов, объекты будут демонтированы силами ГБУ «Автомобильные дороги ЦАО» в соответствии с постановлением Правительства Москвы от 02.11.2012 № 614-ПП.</w:t>
      </w:r>
    </w:p>
    <w:p>
      <w:pPr>
        <w:pStyle w:val="BodyText"/>
      </w:pPr>
      <w:r>
        <w:t xml:space="preserve">Правообладатель объектов в целях возврата ему находящихся на хранении объектов (их составляющих элементов) и имущества, находившегося в демонтированном объекте, обращается с заявлением в префектуру ЦАО (п. 11 приложения 1 к постановлению Правительства Москвы от 02.11.2012 № 614-ПП).</w:t>
      </w:r>
    </w:p>
    <w:p>
      <w:pPr>
        <w:pStyle w:val="BodyText"/>
      </w:pPr>
      <w:r>
        <w:t xml:space="preserve">К заявлению прилагаются документы, подтверждающие принадлежность объектов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Место хранения демонтированных объектов: 5-й Красносельский пер., вл. 17, стр. 2.</w:t>
      </w:r>
    </w:p>
    <w:p>
      <w:pPr>
        <w:pStyle w:val="BodyText"/>
      </w:pPr>
      <w:r>
        <w:t xml:space="preserve">В случае если в течение 6 месяцев с даты передачи объектов (либо их составляющих элементов и имущества, находившихся в демонтированных объектах) на хранение префектурой ЦАО не принято решение о возврате правообладателю предмета хранения, либо если правообладатель объекта не принял предметы хранения по акту приема-передачи, соответствующие предметы хранения подлежат утилизации (п. 14 приложения 1 к постановлению Правительства Москвы от 02.11.2012 № 614-ПП).</w:t>
      </w:r>
    </w:p>
    <w:p>
      <w:pPr>
        <w:pStyle w:val="BodyText"/>
      </w:pPr>
      <w:r>
        <w:br/>
      </w:r>
    </w:p>
    <w:p>
      <w:pPr>
        <w:pStyle w:val="BodyText"/>
      </w:pPr>
      <w:r>
        <w:t xml:space="preserve">Адрес страницы:</w:t>
      </w:r>
      <w:r>
        <w:t xml:space="preserve"> </w:t>
      </w:r>
      <w:hyperlink r:id="rId20">
        <w:r>
          <w:rPr>
            <w:rStyle w:val="Hyperlink"/>
          </w:rPr>
          <w:t xml:space="preserve">http://tveruprava.mos.ru/presscenter/important-information/detail/13128548.html</w:t>
        </w:r>
      </w:hyperlink>
    </w:p>
    <w:p>
      <w:pPr>
        <w:pStyle w:val="BodyText"/>
      </w:pPr>
      <w:hyperlink r:id="rId21">
        <w:r>
          <w:rPr>
            <w:rStyle w:val="Hyperlink"/>
          </w:rPr>
          <w:t xml:space="preserve">Управа Тверского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tveruprava.mos.ru" TargetMode="External" /><Relationship Type="http://schemas.openxmlformats.org/officeDocument/2006/relationships/hyperlink" Id="rId20" Target="http://tveruprava.mos.ru/presscenter/important-information/detail/13128548.html" TargetMode="External" /></Relationships>
</file>

<file path=word/_rels/footnotes.xml.rels><?xml version="1.0" encoding="UTF-8"?><Relationships xmlns="http://schemas.openxmlformats.org/package/2006/relationships"><Relationship Type="http://schemas.openxmlformats.org/officeDocument/2006/relationships/hyperlink" Id="rId21" Target="http://tveruprava.mos.ru" TargetMode="External" /><Relationship Type="http://schemas.openxmlformats.org/officeDocument/2006/relationships/hyperlink" Id="rId20" Target="http://tveruprava.mos.ru/presscenter/important-information/detail/1312854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2025-07-29T09:19:54Z</dcterms:created>
  <dcterms:modified xsi:type="dcterms:W3CDTF">2025-07-29T09:19:54Z</dcterms:modified>
</cp:coreProperties>
</file>

<file path=docProps/custom.xml><?xml version="1.0" encoding="utf-8"?>
<Properties xmlns="http://schemas.openxmlformats.org/officeDocument/2006/custom-properties" xmlns:vt="http://schemas.openxmlformats.org/officeDocument/2006/docPropsVTypes"/>
</file>