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b000e5be6951e2cb6608887f81ea687fbcb60"/>
    <w:p>
      <w:pPr>
        <w:pStyle w:val="Heading3"/>
      </w:pPr>
      <w:r>
        <w:t xml:space="preserve">Молодежь России ставит в приоритет материальное благополучие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Всероссийского центра изучения общественного мнения опубликовали данные исследования, согласно которому современная молодежь одним из главных приоритетов называет материальное благополучие.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ВЦИОМ, меньше всего современная молодежь в России заинтересована в контроле за распорядком дня, в рождении и воспитании ребенка и получении высшего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вопросы задали 1,6 тысячи человек в возрасте от 18 до 30 лет. Больше половины участников опроса поставили во главу материальное благополучие.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скоро в столице в городе откроется онлайн-клуб для молодых предпринимателей под названием Business Update. Участники проекта смогут профессионально развиться в направлении предпринимательства под руководством опытных экспертов.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http://tveruprava.mos.ru/presscenter/news/detail/9030770.html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030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030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2024-09-03T09:31:12Z</dcterms:created>
  <dcterms:modified xsi:type="dcterms:W3CDTF">2024-09-03T09:31:12Z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